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FF1A" w14:textId="77777777" w:rsidR="0069405C" w:rsidRPr="005941CD" w:rsidRDefault="0069405C" w:rsidP="0069405C">
      <w:pPr>
        <w:spacing w:after="0" w:line="240" w:lineRule="auto"/>
        <w:rPr>
          <w:rFonts w:cstheme="minorHAnsi"/>
          <w:sz w:val="20"/>
          <w:szCs w:val="20"/>
        </w:rPr>
      </w:pPr>
      <w:r w:rsidRPr="005941CD">
        <w:rPr>
          <w:rFonts w:cstheme="minorHAnsi"/>
          <w:sz w:val="20"/>
          <w:szCs w:val="20"/>
        </w:rPr>
        <w:t>Non-Criminal Offense</w:t>
      </w:r>
    </w:p>
    <w:p w14:paraId="52346967" w14:textId="77777777" w:rsidR="0069405C" w:rsidRPr="005941CD" w:rsidRDefault="0069405C" w:rsidP="0069405C">
      <w:pPr>
        <w:spacing w:after="0" w:line="240" w:lineRule="auto"/>
        <w:rPr>
          <w:rFonts w:cstheme="minorHAnsi"/>
          <w:sz w:val="20"/>
          <w:szCs w:val="20"/>
          <w:shd w:val="clear" w:color="auto" w:fill="FFFFFF"/>
        </w:rPr>
      </w:pPr>
      <w:r w:rsidRPr="005941CD">
        <w:rPr>
          <w:rFonts w:cstheme="minorHAnsi"/>
          <w:sz w:val="20"/>
          <w:szCs w:val="20"/>
          <w:shd w:val="clear" w:color="auto" w:fill="FFFFFF"/>
        </w:rPr>
        <w:t>A noncriminal offense is classified by </w:t>
      </w:r>
      <w:hyperlink r:id="rId5" w:tgtFrame="_self" w:tooltip="City Ordinance" w:history="1">
        <w:r w:rsidRPr="005941CD">
          <w:rPr>
            <w:rStyle w:val="Hyperlink"/>
            <w:rFonts w:cstheme="minorHAnsi"/>
            <w:color w:val="auto"/>
            <w:sz w:val="20"/>
            <w:szCs w:val="20"/>
            <w:u w:val="none"/>
            <w:shd w:val="clear" w:color="auto" w:fill="FFFFFF"/>
          </w:rPr>
          <w:t>city ordinance</w:t>
        </w:r>
      </w:hyperlink>
      <w:r w:rsidRPr="005941CD">
        <w:rPr>
          <w:rFonts w:cstheme="minorHAnsi"/>
          <w:sz w:val="20"/>
          <w:szCs w:val="20"/>
          <w:shd w:val="clear" w:color="auto" w:fill="FFFFFF"/>
        </w:rPr>
        <w:t> and carries only a monetary penalty. Noncriminal offenses include speeding and many other traffic-related offenses. The Municipal Court has no authority regarding drivers licenses or points that may be assessed by the North Dakota Drivers Licenses Division.</w:t>
      </w:r>
    </w:p>
    <w:p w14:paraId="3FBC6FE8" w14:textId="77777777" w:rsidR="0069405C" w:rsidRPr="005941CD" w:rsidRDefault="0069405C" w:rsidP="0069405C">
      <w:pPr>
        <w:spacing w:after="0" w:line="240" w:lineRule="auto"/>
        <w:rPr>
          <w:rFonts w:cstheme="minorHAnsi"/>
          <w:sz w:val="20"/>
          <w:szCs w:val="20"/>
          <w:shd w:val="clear" w:color="auto" w:fill="FFFFFF"/>
        </w:rPr>
      </w:pPr>
    </w:p>
    <w:p w14:paraId="3B1DE8CE" w14:textId="77777777" w:rsidR="0069405C" w:rsidRPr="005941CD" w:rsidRDefault="0069405C" w:rsidP="0069405C">
      <w:pPr>
        <w:spacing w:after="0" w:line="240" w:lineRule="auto"/>
        <w:rPr>
          <w:rFonts w:cstheme="minorHAnsi"/>
          <w:sz w:val="20"/>
          <w:szCs w:val="20"/>
          <w:shd w:val="clear" w:color="auto" w:fill="FFFFFF"/>
        </w:rPr>
      </w:pPr>
      <w:r w:rsidRPr="005941CD">
        <w:rPr>
          <w:rFonts w:cstheme="minorHAnsi"/>
          <w:sz w:val="20"/>
          <w:szCs w:val="20"/>
          <w:shd w:val="clear" w:color="auto" w:fill="FFFFFF"/>
        </w:rPr>
        <w:t>Resources &amp; Information</w:t>
      </w:r>
    </w:p>
    <w:p w14:paraId="0578F24B" w14:textId="77777777" w:rsidR="0069405C" w:rsidRPr="005941CD" w:rsidRDefault="0069405C" w:rsidP="0069405C">
      <w:pPr>
        <w:pStyle w:val="ListParagraph"/>
        <w:numPr>
          <w:ilvl w:val="0"/>
          <w:numId w:val="1"/>
        </w:numPr>
        <w:spacing w:after="0" w:line="240" w:lineRule="auto"/>
        <w:rPr>
          <w:rFonts w:cstheme="minorHAnsi"/>
          <w:sz w:val="20"/>
          <w:szCs w:val="20"/>
        </w:rPr>
      </w:pPr>
      <w:r w:rsidRPr="005941CD">
        <w:rPr>
          <w:rFonts w:cstheme="minorHAnsi"/>
          <w:sz w:val="20"/>
          <w:szCs w:val="20"/>
        </w:rPr>
        <w:t>Parking Tickets</w:t>
      </w:r>
    </w:p>
    <w:p w14:paraId="0BF3D75B" w14:textId="77777777" w:rsidR="0069405C" w:rsidRPr="005941CD" w:rsidRDefault="0069405C" w:rsidP="0069405C">
      <w:pPr>
        <w:pStyle w:val="ListParagraph"/>
        <w:numPr>
          <w:ilvl w:val="1"/>
          <w:numId w:val="1"/>
        </w:numPr>
        <w:spacing w:after="0" w:line="240" w:lineRule="auto"/>
        <w:rPr>
          <w:rFonts w:cstheme="minorHAnsi"/>
          <w:sz w:val="20"/>
          <w:szCs w:val="20"/>
        </w:rPr>
      </w:pPr>
      <w:r w:rsidRPr="005941CD">
        <w:rPr>
          <w:rFonts w:cstheme="minorHAnsi"/>
          <w:sz w:val="20"/>
          <w:szCs w:val="20"/>
        </w:rPr>
        <w:t xml:space="preserve">When receiving a parking </w:t>
      </w:r>
      <w:proofErr w:type="gramStart"/>
      <w:r w:rsidRPr="005941CD">
        <w:rPr>
          <w:rFonts w:cstheme="minorHAnsi"/>
          <w:sz w:val="20"/>
          <w:szCs w:val="20"/>
        </w:rPr>
        <w:t>ticket</w:t>
      </w:r>
      <w:proofErr w:type="gramEnd"/>
      <w:r w:rsidRPr="005941CD">
        <w:rPr>
          <w:rFonts w:cstheme="minorHAnsi"/>
          <w:sz w:val="20"/>
          <w:szCs w:val="20"/>
        </w:rPr>
        <w:t xml:space="preserve"> you have 30 days to do one of the following:</w:t>
      </w:r>
    </w:p>
    <w:p w14:paraId="249962B3" w14:textId="77777777" w:rsidR="0069405C" w:rsidRPr="005941CD" w:rsidRDefault="0069405C" w:rsidP="0069405C">
      <w:pPr>
        <w:pStyle w:val="ListParagraph"/>
        <w:numPr>
          <w:ilvl w:val="2"/>
          <w:numId w:val="1"/>
        </w:numPr>
        <w:spacing w:after="0" w:line="240" w:lineRule="auto"/>
        <w:rPr>
          <w:rFonts w:cstheme="minorHAnsi"/>
          <w:sz w:val="20"/>
          <w:szCs w:val="20"/>
        </w:rPr>
      </w:pPr>
      <w:r w:rsidRPr="005941CD">
        <w:rPr>
          <w:rFonts w:cstheme="minorHAnsi"/>
          <w:sz w:val="20"/>
          <w:szCs w:val="20"/>
        </w:rPr>
        <w:t>Pay the ticket (to Lincoln Municipal Court 74 Santee Road, Lincoln, ND 58504)</w:t>
      </w:r>
    </w:p>
    <w:p w14:paraId="2B6C400D" w14:textId="77777777" w:rsidR="0069405C" w:rsidRPr="005941CD" w:rsidRDefault="0069405C" w:rsidP="0069405C">
      <w:pPr>
        <w:pStyle w:val="ListParagraph"/>
        <w:numPr>
          <w:ilvl w:val="2"/>
          <w:numId w:val="1"/>
        </w:numPr>
        <w:spacing w:after="0" w:line="240" w:lineRule="auto"/>
        <w:rPr>
          <w:rFonts w:cstheme="minorHAnsi"/>
          <w:sz w:val="20"/>
          <w:szCs w:val="20"/>
        </w:rPr>
      </w:pPr>
      <w:r w:rsidRPr="005941CD">
        <w:rPr>
          <w:rFonts w:cstheme="minorHAnsi"/>
          <w:sz w:val="20"/>
          <w:szCs w:val="20"/>
        </w:rPr>
        <w:t xml:space="preserve">Write a letter of explanation, including your name, address and phone </w:t>
      </w:r>
      <w:proofErr w:type="gramStart"/>
      <w:r w:rsidRPr="005941CD">
        <w:rPr>
          <w:rFonts w:cstheme="minorHAnsi"/>
          <w:sz w:val="20"/>
          <w:szCs w:val="20"/>
        </w:rPr>
        <w:t>number</w:t>
      </w:r>
      <w:proofErr w:type="gramEnd"/>
    </w:p>
    <w:p w14:paraId="72E1F016" w14:textId="77777777" w:rsidR="0069405C" w:rsidRPr="005941CD" w:rsidRDefault="0069405C" w:rsidP="0069405C">
      <w:pPr>
        <w:pStyle w:val="ListParagraph"/>
        <w:numPr>
          <w:ilvl w:val="0"/>
          <w:numId w:val="1"/>
        </w:numPr>
        <w:spacing w:after="0" w:line="240" w:lineRule="auto"/>
        <w:rPr>
          <w:rFonts w:cstheme="minorHAnsi"/>
          <w:sz w:val="20"/>
          <w:szCs w:val="20"/>
        </w:rPr>
      </w:pPr>
      <w:r w:rsidRPr="005941CD">
        <w:rPr>
          <w:rFonts w:cstheme="minorHAnsi"/>
          <w:sz w:val="20"/>
          <w:szCs w:val="20"/>
        </w:rPr>
        <w:t>Posting Bond</w:t>
      </w:r>
      <w:r>
        <w:rPr>
          <w:rFonts w:cstheme="minorHAnsi"/>
          <w:sz w:val="20"/>
          <w:szCs w:val="20"/>
        </w:rPr>
        <w:t xml:space="preserve"> (Non-Criminal Matters)</w:t>
      </w:r>
    </w:p>
    <w:p w14:paraId="60C47320" w14:textId="77777777" w:rsidR="0069405C" w:rsidRPr="00ED3D74" w:rsidRDefault="0069405C" w:rsidP="0069405C">
      <w:pPr>
        <w:numPr>
          <w:ilvl w:val="1"/>
          <w:numId w:val="1"/>
        </w:numPr>
        <w:shd w:val="clear" w:color="auto" w:fill="FFFFFF"/>
        <w:spacing w:before="100" w:beforeAutospacing="1" w:after="84" w:line="240" w:lineRule="auto"/>
        <w:rPr>
          <w:rFonts w:eastAsia="Times New Roman" w:cstheme="minorHAnsi"/>
          <w:sz w:val="20"/>
          <w:szCs w:val="20"/>
        </w:rPr>
      </w:pPr>
      <w:r w:rsidRPr="00ED3D74">
        <w:rPr>
          <w:rFonts w:eastAsia="Times New Roman" w:cstheme="minorHAnsi"/>
          <w:sz w:val="20"/>
          <w:szCs w:val="20"/>
        </w:rPr>
        <w:t xml:space="preserve">If you wish to admit the citation you don't need to appear in </w:t>
      </w:r>
      <w:proofErr w:type="gramStart"/>
      <w:r w:rsidRPr="00ED3D74">
        <w:rPr>
          <w:rFonts w:eastAsia="Times New Roman" w:cstheme="minorHAnsi"/>
          <w:sz w:val="20"/>
          <w:szCs w:val="20"/>
        </w:rPr>
        <w:t>court</w:t>
      </w:r>
      <w:proofErr w:type="gramEnd"/>
      <w:r w:rsidRPr="00ED3D74">
        <w:rPr>
          <w:rFonts w:eastAsia="Times New Roman" w:cstheme="minorHAnsi"/>
          <w:sz w:val="20"/>
          <w:szCs w:val="20"/>
        </w:rPr>
        <w:t xml:space="preserve"> but you must pay the ticket within 14 days.</w:t>
      </w:r>
    </w:p>
    <w:p w14:paraId="6B818BA2" w14:textId="77777777" w:rsidR="0069405C" w:rsidRPr="00ED3D74" w:rsidRDefault="0069405C" w:rsidP="0069405C">
      <w:pPr>
        <w:numPr>
          <w:ilvl w:val="1"/>
          <w:numId w:val="1"/>
        </w:numPr>
        <w:shd w:val="clear" w:color="auto" w:fill="FFFFFF"/>
        <w:spacing w:before="100" w:beforeAutospacing="1" w:after="84" w:line="240" w:lineRule="auto"/>
        <w:rPr>
          <w:rFonts w:eastAsia="Times New Roman" w:cstheme="minorHAnsi"/>
          <w:sz w:val="20"/>
          <w:szCs w:val="20"/>
        </w:rPr>
      </w:pPr>
      <w:r w:rsidRPr="00ED3D74">
        <w:rPr>
          <w:rFonts w:eastAsia="Times New Roman" w:cstheme="minorHAnsi"/>
          <w:sz w:val="20"/>
          <w:szCs w:val="20"/>
        </w:rPr>
        <w:t xml:space="preserve">If you wish to request an extension to pay the fine or to make a statement concerning the violation, you must send an email to </w:t>
      </w:r>
      <w:hyperlink r:id="rId6" w:history="1">
        <w:r w:rsidRPr="00ED3D74">
          <w:rPr>
            <w:rStyle w:val="Hyperlink"/>
            <w:rFonts w:eastAsia="Times New Roman" w:cstheme="minorHAnsi"/>
            <w:sz w:val="20"/>
            <w:szCs w:val="20"/>
          </w:rPr>
          <w:t>clerk@cityoflincolnnd.com</w:t>
        </w:r>
      </w:hyperlink>
      <w:r w:rsidRPr="00ED3D74">
        <w:rPr>
          <w:rFonts w:eastAsia="Times New Roman" w:cstheme="minorHAnsi"/>
          <w:sz w:val="20"/>
          <w:szCs w:val="20"/>
        </w:rPr>
        <w:t xml:space="preserve"> to have the request or statement sent to the judge and the Judge will take the request or statement under advisement. </w:t>
      </w:r>
    </w:p>
    <w:p w14:paraId="63D6AD1A" w14:textId="77777777" w:rsidR="0069405C" w:rsidRPr="00ED3D74" w:rsidRDefault="0069405C" w:rsidP="0069405C">
      <w:pPr>
        <w:numPr>
          <w:ilvl w:val="1"/>
          <w:numId w:val="1"/>
        </w:numPr>
        <w:shd w:val="clear" w:color="auto" w:fill="FFFFFF"/>
        <w:spacing w:before="100" w:beforeAutospacing="1" w:after="84" w:line="240" w:lineRule="auto"/>
        <w:rPr>
          <w:rFonts w:eastAsia="Times New Roman" w:cstheme="minorHAnsi"/>
          <w:sz w:val="20"/>
          <w:szCs w:val="20"/>
        </w:rPr>
      </w:pPr>
      <w:r w:rsidRPr="00ED3D74">
        <w:rPr>
          <w:rFonts w:eastAsia="Times New Roman" w:cstheme="minorHAnsi"/>
          <w:sz w:val="20"/>
          <w:szCs w:val="20"/>
        </w:rPr>
        <w:t>If you wish to deny the citation you need to make a hearing request within 14 days of the citation (signing the citation for request of hearing) and pay the required bond on the citation. A court date will then be issued to you. If you fail to appear for this scheduled hearing, the bond posted will be forfeited towards to fines/fees.</w:t>
      </w:r>
    </w:p>
    <w:p w14:paraId="3DBBA3F9" w14:textId="77777777" w:rsidR="0069405C" w:rsidRPr="00ED3D74" w:rsidRDefault="0069405C" w:rsidP="0069405C">
      <w:pPr>
        <w:numPr>
          <w:ilvl w:val="1"/>
          <w:numId w:val="1"/>
        </w:numPr>
        <w:shd w:val="clear" w:color="auto" w:fill="FFFFFF"/>
        <w:spacing w:before="100" w:beforeAutospacing="1" w:after="84" w:line="240" w:lineRule="auto"/>
        <w:rPr>
          <w:rFonts w:eastAsia="Times New Roman" w:cstheme="minorHAnsi"/>
          <w:sz w:val="20"/>
          <w:szCs w:val="20"/>
        </w:rPr>
      </w:pPr>
      <w:r w:rsidRPr="00ED3D74">
        <w:rPr>
          <w:rFonts w:eastAsia="Times New Roman" w:cstheme="minorHAnsi"/>
          <w:sz w:val="20"/>
          <w:szCs w:val="20"/>
        </w:rPr>
        <w:t xml:space="preserve">For moving violations, if you do not follow the procedures, your driving privileges may be suspended by the North Dakota </w:t>
      </w:r>
      <w:proofErr w:type="spellStart"/>
      <w:r w:rsidRPr="00ED3D74">
        <w:rPr>
          <w:rFonts w:eastAsia="Times New Roman" w:cstheme="minorHAnsi"/>
          <w:sz w:val="20"/>
          <w:szCs w:val="20"/>
        </w:rPr>
        <w:t>Drivers</w:t>
      </w:r>
      <w:proofErr w:type="spellEnd"/>
      <w:r w:rsidRPr="00ED3D74">
        <w:rPr>
          <w:rFonts w:eastAsia="Times New Roman" w:cstheme="minorHAnsi"/>
          <w:sz w:val="20"/>
          <w:szCs w:val="20"/>
        </w:rPr>
        <w:t xml:space="preserve"> License and Traffic Safety Division or by the licensing authority in the state where you are licensed or where you live.</w:t>
      </w:r>
    </w:p>
    <w:p w14:paraId="628E6604" w14:textId="77777777" w:rsidR="0069405C" w:rsidRPr="005941CD" w:rsidRDefault="0069405C" w:rsidP="0069405C">
      <w:pPr>
        <w:pStyle w:val="ListParagraph"/>
        <w:numPr>
          <w:ilvl w:val="0"/>
          <w:numId w:val="1"/>
        </w:numPr>
        <w:spacing w:after="0" w:line="240" w:lineRule="auto"/>
        <w:rPr>
          <w:rFonts w:cstheme="minorHAnsi"/>
          <w:sz w:val="20"/>
          <w:szCs w:val="20"/>
        </w:rPr>
      </w:pPr>
      <w:r w:rsidRPr="005941CD">
        <w:rPr>
          <w:rFonts w:cstheme="minorHAnsi"/>
          <w:sz w:val="20"/>
          <w:szCs w:val="20"/>
        </w:rPr>
        <w:t>Procedure at the Hearing</w:t>
      </w:r>
    </w:p>
    <w:p w14:paraId="0BEC8A23" w14:textId="77777777" w:rsidR="0069405C" w:rsidRPr="005941CD" w:rsidRDefault="0069405C" w:rsidP="0069405C">
      <w:pPr>
        <w:pStyle w:val="ListParagraph"/>
        <w:numPr>
          <w:ilvl w:val="1"/>
          <w:numId w:val="1"/>
        </w:numPr>
        <w:spacing w:after="0" w:line="240" w:lineRule="auto"/>
        <w:rPr>
          <w:rFonts w:cstheme="minorHAnsi"/>
          <w:sz w:val="20"/>
          <w:szCs w:val="20"/>
        </w:rPr>
      </w:pPr>
      <w:r w:rsidRPr="005941CD">
        <w:rPr>
          <w:rFonts w:cstheme="minorHAnsi"/>
          <w:sz w:val="20"/>
          <w:szCs w:val="20"/>
        </w:rPr>
        <w:t>Witnesses</w:t>
      </w:r>
    </w:p>
    <w:p w14:paraId="0C7C1CA9" w14:textId="77777777" w:rsidR="0069405C" w:rsidRPr="005941CD" w:rsidRDefault="0069405C" w:rsidP="0069405C">
      <w:pPr>
        <w:pStyle w:val="ListParagraph"/>
        <w:numPr>
          <w:ilvl w:val="2"/>
          <w:numId w:val="1"/>
        </w:numPr>
        <w:spacing w:after="0" w:line="240" w:lineRule="auto"/>
        <w:rPr>
          <w:rFonts w:cstheme="minorHAnsi"/>
          <w:sz w:val="20"/>
          <w:szCs w:val="20"/>
        </w:rPr>
      </w:pPr>
      <w:r w:rsidRPr="005941CD">
        <w:rPr>
          <w:rFonts w:cstheme="minorHAnsi"/>
          <w:sz w:val="20"/>
          <w:szCs w:val="20"/>
          <w:shd w:val="clear" w:color="auto" w:fill="FFFFFF"/>
        </w:rPr>
        <w:t>The City of Lincoln is the plaintiff. The person named in the citation or complaint is the defendant. Both the city and defendant may subpoena witnesses to testify and present evidence.</w:t>
      </w:r>
    </w:p>
    <w:p w14:paraId="10643EDD" w14:textId="77777777" w:rsidR="0069405C" w:rsidRPr="005941CD" w:rsidRDefault="0069405C" w:rsidP="0069405C">
      <w:pPr>
        <w:pStyle w:val="ListParagraph"/>
        <w:numPr>
          <w:ilvl w:val="1"/>
          <w:numId w:val="1"/>
        </w:numPr>
        <w:spacing w:after="0" w:line="240" w:lineRule="auto"/>
        <w:rPr>
          <w:rFonts w:cstheme="minorHAnsi"/>
          <w:sz w:val="20"/>
          <w:szCs w:val="20"/>
        </w:rPr>
      </w:pPr>
      <w:r w:rsidRPr="005941CD">
        <w:rPr>
          <w:rFonts w:cstheme="minorHAnsi"/>
          <w:sz w:val="20"/>
          <w:szCs w:val="20"/>
        </w:rPr>
        <w:t>Bonds</w:t>
      </w:r>
    </w:p>
    <w:p w14:paraId="70CC51FD" w14:textId="77777777" w:rsidR="0069405C" w:rsidRPr="005941CD" w:rsidRDefault="0069405C" w:rsidP="0069405C">
      <w:pPr>
        <w:pStyle w:val="ListParagraph"/>
        <w:numPr>
          <w:ilvl w:val="2"/>
          <w:numId w:val="1"/>
        </w:numPr>
        <w:spacing w:after="0" w:line="240" w:lineRule="auto"/>
        <w:rPr>
          <w:rFonts w:cstheme="minorHAnsi"/>
          <w:sz w:val="20"/>
          <w:szCs w:val="20"/>
        </w:rPr>
      </w:pPr>
      <w:r w:rsidRPr="005941CD">
        <w:rPr>
          <w:rFonts w:cstheme="minorHAnsi"/>
          <w:sz w:val="20"/>
          <w:szCs w:val="20"/>
          <w:shd w:val="clear" w:color="auto" w:fill="FFFFFF"/>
        </w:rPr>
        <w:t xml:space="preserve">If the court finds the defendant not guilty, the bond will be returned. The defendant will need the receipt for the bond (the receipt that was issued at the time of paying bond). If the court finds the defendant guilty the bond will be applied to fine, fees, </w:t>
      </w:r>
      <w:proofErr w:type="spellStart"/>
      <w:proofErr w:type="gramStart"/>
      <w:r w:rsidRPr="005941CD">
        <w:rPr>
          <w:rFonts w:cstheme="minorHAnsi"/>
          <w:sz w:val="20"/>
          <w:szCs w:val="20"/>
          <w:shd w:val="clear" w:color="auto" w:fill="FFFFFF"/>
        </w:rPr>
        <w:t>cost,and</w:t>
      </w:r>
      <w:proofErr w:type="spellEnd"/>
      <w:proofErr w:type="gramEnd"/>
      <w:r w:rsidRPr="005941CD">
        <w:rPr>
          <w:rFonts w:cstheme="minorHAnsi"/>
          <w:sz w:val="20"/>
          <w:szCs w:val="20"/>
          <w:shd w:val="clear" w:color="auto" w:fill="FFFFFF"/>
        </w:rPr>
        <w:t xml:space="preserve"> restitution. There are no additional costs in a non-criminal case.</w:t>
      </w:r>
    </w:p>
    <w:p w14:paraId="69724F78" w14:textId="77777777" w:rsidR="0069405C" w:rsidRPr="005941CD" w:rsidRDefault="0069405C" w:rsidP="0069405C">
      <w:pPr>
        <w:pStyle w:val="ListParagraph"/>
        <w:numPr>
          <w:ilvl w:val="1"/>
          <w:numId w:val="1"/>
        </w:numPr>
        <w:spacing w:after="0" w:line="240" w:lineRule="auto"/>
        <w:rPr>
          <w:rFonts w:cstheme="minorHAnsi"/>
          <w:sz w:val="20"/>
          <w:szCs w:val="20"/>
        </w:rPr>
      </w:pPr>
      <w:r w:rsidRPr="005941CD">
        <w:rPr>
          <w:rFonts w:cstheme="minorHAnsi"/>
          <w:sz w:val="20"/>
          <w:szCs w:val="20"/>
        </w:rPr>
        <w:t>Appeals</w:t>
      </w:r>
    </w:p>
    <w:p w14:paraId="615F9279" w14:textId="77777777" w:rsidR="0069405C" w:rsidRPr="005941CD" w:rsidRDefault="0069405C" w:rsidP="0069405C">
      <w:pPr>
        <w:pStyle w:val="ListParagraph"/>
        <w:numPr>
          <w:ilvl w:val="2"/>
          <w:numId w:val="1"/>
        </w:numPr>
        <w:spacing w:after="0" w:line="240" w:lineRule="auto"/>
        <w:rPr>
          <w:rFonts w:cstheme="minorHAnsi"/>
          <w:sz w:val="20"/>
          <w:szCs w:val="20"/>
        </w:rPr>
      </w:pPr>
      <w:r w:rsidRPr="005941CD">
        <w:rPr>
          <w:rFonts w:cstheme="minorHAnsi"/>
          <w:sz w:val="20"/>
          <w:szCs w:val="20"/>
          <w:shd w:val="clear" w:color="auto" w:fill="FFFFFF"/>
        </w:rPr>
        <w:t>To appeal a guilty finding in a non-criminal case, a notice of appeal must be in writing and filed with Municipal Court within 30 days. The clerk will transmit your court file to the Clerk of District Court. The Clerk of District Court will notify the defendant of future court appearances.</w:t>
      </w:r>
      <w:r w:rsidRPr="005941CD">
        <w:rPr>
          <w:rFonts w:cstheme="minorHAnsi"/>
          <w:sz w:val="20"/>
          <w:szCs w:val="20"/>
        </w:rPr>
        <w:br/>
      </w:r>
      <w:r w:rsidRPr="005941CD">
        <w:rPr>
          <w:rFonts w:cstheme="minorHAnsi"/>
          <w:sz w:val="20"/>
          <w:szCs w:val="20"/>
        </w:rPr>
        <w:br/>
      </w:r>
      <w:r w:rsidRPr="005941CD">
        <w:rPr>
          <w:rFonts w:cstheme="minorHAnsi"/>
          <w:sz w:val="20"/>
          <w:szCs w:val="20"/>
          <w:shd w:val="clear" w:color="auto" w:fill="FFFFFF"/>
        </w:rPr>
        <w:t>The conviction is reported to the state licensing authority even if an appeal is filed.</w:t>
      </w:r>
    </w:p>
    <w:p w14:paraId="53C001B3" w14:textId="77777777" w:rsidR="00376B7D" w:rsidRDefault="00376B7D"/>
    <w:sectPr w:rsidR="0037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01F87"/>
    <w:multiLevelType w:val="hybridMultilevel"/>
    <w:tmpl w:val="7016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16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5C"/>
    <w:rsid w:val="00376B7D"/>
    <w:rsid w:val="0069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12D8"/>
  <w15:chartTrackingRefBased/>
  <w15:docId w15:val="{C1157E53-6210-4B1F-9BEA-250B7AC5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5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05C"/>
    <w:pPr>
      <w:ind w:left="720"/>
      <w:contextualSpacing/>
    </w:pPr>
  </w:style>
  <w:style w:type="character" w:styleId="Hyperlink">
    <w:name w:val="Hyperlink"/>
    <w:basedOn w:val="DefaultParagraphFont"/>
    <w:uiPriority w:val="99"/>
    <w:unhideWhenUsed/>
    <w:rsid w:val="00694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ityoflincolnnd.com" TargetMode="External"/><Relationship Id="rId5" Type="http://schemas.openxmlformats.org/officeDocument/2006/relationships/hyperlink" Target="https://www.bismarcknd.gov/90/Code-of-Ordin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Renton</dc:creator>
  <cp:keywords/>
  <dc:description/>
  <cp:lastModifiedBy>Jenny Renton</cp:lastModifiedBy>
  <cp:revision>1</cp:revision>
  <dcterms:created xsi:type="dcterms:W3CDTF">2023-03-23T17:30:00Z</dcterms:created>
  <dcterms:modified xsi:type="dcterms:W3CDTF">2023-03-23T17:30:00Z</dcterms:modified>
</cp:coreProperties>
</file>